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附件2-</w:t>
      </w:r>
      <w:r>
        <w:rPr>
          <w:rFonts w:ascii="黑体" w:eastAsia="黑体" w:cs="黑体"/>
          <w:color w:val="000000"/>
          <w:szCs w:val="32"/>
        </w:rPr>
        <w:t>3</w:t>
      </w:r>
    </w:p>
    <w:p>
      <w:pPr>
        <w:pStyle w:val="4"/>
        <w:spacing w:before="294" w:beforeLines="50" w:after="294" w:afterLines="50" w:line="5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福建省国有文艺院团（事业）年度基本情况表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sz w:val="23"/>
          <w:szCs w:val="23"/>
        </w:rPr>
        <w:t>院团名称（盖章）：</w:t>
      </w:r>
      <w:r>
        <w:rPr>
          <w:rFonts w:ascii="仿宋_GB2312" w:cs="仿宋_GB2312"/>
          <w:color w:val="000000"/>
          <w:sz w:val="23"/>
          <w:szCs w:val="23"/>
        </w:rPr>
        <w:t xml:space="preserve">                                      </w:t>
      </w:r>
      <w:r>
        <w:rPr>
          <w:rFonts w:hint="eastAsia" w:ascii="仿宋_GB2312" w:cs="仿宋_GB2312"/>
          <w:color w:val="000000"/>
          <w:sz w:val="23"/>
          <w:szCs w:val="23"/>
        </w:rPr>
        <w:t>单位：万元、人、场</w:t>
      </w:r>
    </w:p>
    <w:tbl>
      <w:tblPr>
        <w:tblStyle w:val="2"/>
        <w:tblW w:w="8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88"/>
        <w:gridCol w:w="951"/>
        <w:gridCol w:w="650"/>
        <w:gridCol w:w="786"/>
        <w:gridCol w:w="508"/>
        <w:gridCol w:w="485"/>
        <w:gridCol w:w="827"/>
        <w:gridCol w:w="408"/>
        <w:gridCol w:w="379"/>
        <w:gridCol w:w="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人员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3"/>
                <w:szCs w:val="23"/>
              </w:rPr>
              <w:t>情况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职工人数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离退休人员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党员人数</w:t>
            </w: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经济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3"/>
                <w:szCs w:val="23"/>
              </w:rPr>
              <w:t>概况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3"/>
                <w:szCs w:val="23"/>
              </w:rPr>
              <w:t>本年收入合计</w:t>
            </w:r>
          </w:p>
        </w:tc>
        <w:tc>
          <w:tcPr>
            <w:tcW w:w="338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财政补助收入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338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事业收入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其中：演出收入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上级补助收入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经营收入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国家艺术基金资助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与去年同比增减（±）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right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3"/>
                <w:szCs w:val="23"/>
              </w:rPr>
              <w:t>本年支出合计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支出费用</w:t>
            </w:r>
          </w:p>
        </w:tc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事业支出</w:t>
            </w: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基本支出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项目支出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经营支出</w:t>
            </w:r>
          </w:p>
        </w:tc>
        <w:tc>
          <w:tcPr>
            <w:tcW w:w="3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支出费用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3"/>
                <w:szCs w:val="23"/>
              </w:rPr>
              <w:t>（明细）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职工经费支出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演出补贴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排练创作费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艺术创作费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演出费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jc w:val="center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eastAsia="仿宋_GB2312" w:cs="仿宋_GB2312"/>
                <w:sz w:val="23"/>
                <w:szCs w:val="23"/>
              </w:rPr>
              <w:t>各种税金支出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540" w:lineRule="exact"/>
              <w:rPr>
                <w:rFonts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cs="黑体"/>
          <w:color w:val="000000"/>
          <w:kern w:val="0"/>
          <w:szCs w:val="32"/>
        </w:rPr>
      </w:pPr>
      <w:r>
        <w:rPr>
          <w:rFonts w:hint="eastAsia"/>
          <w:color w:val="000000"/>
          <w:sz w:val="23"/>
          <w:szCs w:val="23"/>
        </w:rPr>
        <w:t>院团领导（签字）：</w:t>
      </w:r>
      <w:r>
        <w:rPr>
          <w:color w:val="000000"/>
          <w:sz w:val="23"/>
          <w:szCs w:val="23"/>
        </w:rPr>
        <w:t xml:space="preserve">           </w:t>
      </w:r>
      <w:r>
        <w:rPr>
          <w:rFonts w:hint="eastAsia"/>
          <w:color w:val="000000"/>
          <w:sz w:val="23"/>
          <w:szCs w:val="23"/>
        </w:rPr>
        <w:t>审核人（签字）：</w:t>
      </w:r>
      <w:r>
        <w:rPr>
          <w:color w:val="000000"/>
          <w:sz w:val="23"/>
          <w:szCs w:val="23"/>
        </w:rPr>
        <w:t xml:space="preserve">        </w:t>
      </w:r>
      <w:r>
        <w:rPr>
          <w:rFonts w:hint="eastAsia"/>
          <w:color w:val="000000"/>
          <w:sz w:val="23"/>
          <w:szCs w:val="23"/>
        </w:rPr>
        <w:t>填表人（签字）：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4C86"/>
    <w:rsid w:val="367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2020-04-20T08:32:00Z</dcterms:created>
  <dc:creator>Rita。</dc:creator>
  <cp:lastModifiedBy>Rita。</cp:lastModifiedBy>
  <dcterms:modified xsi:type="dcterms:W3CDTF">2020-04-20T08:45:32Z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